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93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9300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Thompson Rahsaan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ZEVRA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ZVRA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ZEVRA THERAPEUTICS, INC.</w:t>
            </w: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06/21/2026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FEDERAL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677"/>
        <w:spacing w:after="0"/>
        <w:rPr>
          <w:sz w:val="20"/>
          <w:szCs w:val="20"/>
          <w:color w:val="auto"/>
        </w:rPr>
      </w:pPr>
      <w:r>
        <w:rPr>
          <w:rFonts w:ascii="Times New Roman" w:cs="Times New Roman" w:eastAsia="Times New Roman" w:hAnsi="Times New Roman"/>
          <w:sz w:val="17"/>
          <w:szCs w:val="17"/>
          <w:color w:val="0000FF"/>
        </w:rPr>
        <w:t>Chief Legal &amp; Compliance</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0000FF"/>
              </w:rPr>
              <w:t>06/21/2026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66,667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right"/>
              <w:ind w:right="13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114,792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34,557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12.6835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80,235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06/21/2026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w w:val="94"/>
              </w:rPr>
              <w:t>66,667</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66,667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66,667</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01-08-2026.</w:t>
      </w:r>
    </w:p>
    <w:p>
      <w:pPr>
        <w:spacing w:after="0" w:line="44"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$12.53 to $13.19. The price reported reflects the weighted average sale price. The Reporting Person undertakes to provide upon request to the SEC staff, the Issuer or any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first and second tranches of the restricted stock units vested and settled on June 21, 2025 and June 21, 2026, respectively, and the remaining tranche of the restricted stock units will vest and settle on the next anniversary thereafter, subject to the Reporting person's continued service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Timothy J. Sangiovanni,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71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Rahsaan</w:t>
      </w:r>
      <w:r>
        <w:rPr>
          <w:sz w:val="20"/>
          <w:szCs w:val="20"/>
          <w:color w:val="auto"/>
        </w:rPr>
        <w:tab/>
      </w:r>
      <w:r>
        <w:rPr>
          <w:rFonts w:ascii="Times New Roman" w:cs="Times New Roman" w:eastAsia="Times New Roman" w:hAnsi="Times New Roman"/>
          <w:sz w:val="16"/>
          <w:szCs w:val="16"/>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00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8524" TargetMode="External"/><Relationship Id="rId14" Type="http://schemas.openxmlformats.org/officeDocument/2006/relationships/hyperlink" Target="http://www.sec.gov/cgi-bin/browse-edgar?action=getcompany&amp;CIK=0001434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2026-06-23T15:37:06Z</dcterms:created>
  <dcterms:modified xsi:type="dcterms:W3CDTF">2026-06-23T15:37:06Z</dcterms:modified>
</cp:coreProperties>
</file>